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EC" w:rsidRDefault="000218FA" w:rsidP="00C46C75">
      <w:pPr>
        <w:jc w:val="center"/>
        <w:outlineLvl w:val="0"/>
        <w:rPr>
          <w:rFonts w:ascii="Arial" w:eastAsia="Arial" w:hAnsi="Arial" w:cs="Arial"/>
          <w:b/>
          <w:bCs/>
          <w:color w:val="000000"/>
          <w:u w:color="000000"/>
        </w:rPr>
      </w:pPr>
      <w:r w:rsidRPr="000218FA">
        <w:rPr>
          <w:rFonts w:ascii="Arial" w:eastAsia="Arial" w:hAnsi="Arial" w:cs="Arial"/>
          <w:b/>
          <w:bCs/>
          <w:noProof/>
          <w:color w:val="000000"/>
          <w:u w:color="000000"/>
          <w:lang w:val="ru-RU" w:eastAsia="ru-RU"/>
        </w:rPr>
        <w:drawing>
          <wp:inline distT="0" distB="0" distL="0" distR="0">
            <wp:extent cx="436880" cy="655320"/>
            <wp:effectExtent l="0" t="0" r="1270" b="0"/>
            <wp:docPr id="7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8FA">
        <w:rPr>
          <w:rFonts w:eastAsia="Times New Roman"/>
          <w:noProof/>
          <w:color w:val="000000"/>
          <w:sz w:val="20"/>
          <w:szCs w:val="20"/>
          <w:u w:color="000000"/>
          <w:lang w:val="ru-RU" w:eastAsia="ru-RU"/>
        </w:rPr>
        <w:drawing>
          <wp:inline distT="0" distB="0" distL="0" distR="0">
            <wp:extent cx="5807075" cy="668655"/>
            <wp:effectExtent l="19050" t="0" r="3175" b="0"/>
            <wp:docPr id="6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EC" w:rsidRPr="00170357" w:rsidRDefault="000218FA" w:rsidP="000218FA">
      <w:pPr>
        <w:jc w:val="center"/>
        <w:outlineLvl w:val="0"/>
        <w:rPr>
          <w:rFonts w:ascii="Arial" w:eastAsia="Arial" w:hAnsi="Arial" w:cs="Arial"/>
          <w:b/>
          <w:bCs/>
          <w:color w:val="000000"/>
          <w:u w:color="000000"/>
          <w:lang w:val="ru-RU"/>
        </w:rPr>
      </w:pPr>
      <w:r>
        <w:rPr>
          <w:rFonts w:ascii="Arial" w:eastAsia="Arial" w:hAnsi="Arial" w:cs="Arial"/>
          <w:b/>
          <w:bCs/>
          <w:noProof/>
          <w:color w:val="000000"/>
          <w:u w:color="000000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333744</wp:posOffset>
            </wp:positionV>
            <wp:extent cx="2209800" cy="1773186"/>
            <wp:effectExtent l="19050" t="0" r="0" b="0"/>
            <wp:wrapNone/>
            <wp:docPr id="3" name="Рисунок 2" descr="C:\Users\Gubernatorova\Desktop\Лог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bernatorova\Desktop\Лог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7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8FA">
        <w:rPr>
          <w:rFonts w:ascii="Arial" w:eastAsia="Arial" w:hAnsi="Arial" w:cs="Arial"/>
          <w:b/>
          <w:bCs/>
          <w:noProof/>
          <w:color w:val="000000"/>
          <w:u w:color="000000"/>
          <w:lang w:val="ru-RU" w:eastAsia="ru-RU"/>
        </w:rPr>
        <w:drawing>
          <wp:inline distT="0" distB="0" distL="0" distR="0">
            <wp:extent cx="1036955" cy="573405"/>
            <wp:effectExtent l="19050" t="0" r="0" b="0"/>
            <wp:docPr id="8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79F">
        <w:rPr>
          <w:rFonts w:ascii="Arial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                                                       </w:t>
      </w:r>
    </w:p>
    <w:p w:rsidR="00C46C75" w:rsidRPr="00170357" w:rsidRDefault="00DB0FB6">
      <w:pPr>
        <w:ind w:left="284"/>
        <w:jc w:val="right"/>
        <w:outlineLvl w:val="0"/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</w:pPr>
      <w:r>
        <w:rPr>
          <w:rFonts w:ascii="Arial Unicode MS" w:hAnsi="Arial Unicode MS" w:cs="Arial Unicode MS"/>
          <w:b/>
          <w:bCs/>
          <w:noProof/>
          <w:color w:val="000000"/>
          <w:sz w:val="20"/>
          <w:szCs w:val="20"/>
          <w:u w:color="000000"/>
          <w:lang w:val="ru-RU" w:eastAsia="ru-RU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4097655</wp:posOffset>
            </wp:positionH>
            <wp:positionV relativeFrom="line">
              <wp:posOffset>533400</wp:posOffset>
            </wp:positionV>
            <wp:extent cx="2733675" cy="619125"/>
            <wp:effectExtent l="19050" t="0" r="9525" b="0"/>
            <wp:wrapTopAndBottom distT="57150" distB="5715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охр.jpg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46C75" w:rsidRPr="00170357" w:rsidRDefault="00C46C75">
      <w:pPr>
        <w:ind w:left="284"/>
        <w:jc w:val="right"/>
        <w:outlineLvl w:val="0"/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</w:pPr>
    </w:p>
    <w:p w:rsidR="000218FA" w:rsidRPr="00170357" w:rsidRDefault="000218FA">
      <w:pPr>
        <w:ind w:left="284"/>
        <w:jc w:val="right"/>
        <w:outlineLvl w:val="0"/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</w:pPr>
    </w:p>
    <w:p w:rsidR="00082FEC" w:rsidRDefault="0078679F">
      <w:pPr>
        <w:ind w:left="284"/>
        <w:jc w:val="right"/>
        <w:outlineLvl w:val="0"/>
        <w:rPr>
          <w:rFonts w:ascii="Helvetica" w:eastAsia="Helvetica" w:hAnsi="Helvetica" w:cs="Helvetica"/>
          <w:b/>
          <w:bCs/>
          <w:color w:val="000000"/>
          <w:sz w:val="20"/>
          <w:szCs w:val="20"/>
          <w:u w:color="000000"/>
          <w:lang w:val="ru-RU"/>
        </w:rPr>
      </w:pP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Россия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, 300013 </w:t>
      </w: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г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. </w:t>
      </w: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Тула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, </w:t>
      </w: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ул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. </w:t>
      </w: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Тульская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, </w:t>
      </w: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д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. 10</w:t>
      </w:r>
    </w:p>
    <w:p w:rsidR="00082FEC" w:rsidRDefault="0078679F">
      <w:pPr>
        <w:ind w:left="284"/>
        <w:jc w:val="right"/>
        <w:outlineLvl w:val="0"/>
        <w:rPr>
          <w:rFonts w:ascii="Helvetica" w:eastAsia="Helvetica" w:hAnsi="Helvetica" w:cs="Helvetica"/>
          <w:b/>
          <w:bCs/>
          <w:color w:val="000000"/>
          <w:sz w:val="20"/>
          <w:szCs w:val="20"/>
          <w:u w:color="000000"/>
          <w:lang w:val="ru-RU"/>
        </w:rPr>
      </w:pP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тел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. / </w:t>
      </w: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факс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: (4872) 246-179, </w:t>
      </w: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тел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.: (4872) 246-812, </w:t>
      </w: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тел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 xml:space="preserve">.: (4872) 246-803, </w:t>
      </w:r>
      <w:r>
        <w:rPr>
          <w:rFonts w:ascii="Arial Unicode MS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тел</w:t>
      </w:r>
      <w:r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  <w:lang w:val="ru-RU"/>
        </w:rPr>
        <w:t>.: (4872) 246-571</w:t>
      </w:r>
    </w:p>
    <w:p w:rsidR="00082FEC" w:rsidRDefault="0078679F">
      <w:pPr>
        <w:ind w:left="284"/>
        <w:jc w:val="right"/>
        <w:outlineLvl w:val="0"/>
        <w:rPr>
          <w:rFonts w:ascii="Helvetica" w:eastAsia="Helvetica" w:hAnsi="Helvetica" w:cs="Helvetica"/>
          <w:b/>
          <w:bCs/>
          <w:color w:val="000000"/>
          <w:sz w:val="20"/>
          <w:szCs w:val="20"/>
          <w:u w:color="000000"/>
        </w:rPr>
      </w:pPr>
      <w:r w:rsidRPr="00F61612"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</w:rPr>
        <w:t xml:space="preserve">E-mail: </w:t>
      </w:r>
      <w:r w:rsidR="00C706E0"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</w:rPr>
        <w:t>info</w:t>
      </w:r>
      <w:r w:rsidRPr="00F61612"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</w:rPr>
        <w:t>@</w:t>
      </w:r>
      <w:r w:rsidR="00C706E0"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</w:rPr>
        <w:t>barsco</w:t>
      </w:r>
      <w:r w:rsidRPr="00F61612">
        <w:rPr>
          <w:rFonts w:ascii="Helvetica" w:hAnsi="Arial Unicode MS" w:cs="Arial Unicode MS"/>
          <w:b/>
          <w:bCs/>
          <w:color w:val="000000"/>
          <w:sz w:val="20"/>
          <w:szCs w:val="20"/>
          <w:u w:color="000000"/>
        </w:rPr>
        <w:t>.ru, http://www.bars-security.ru</w:t>
      </w:r>
    </w:p>
    <w:p w:rsidR="00082FEC" w:rsidRDefault="008657B8">
      <w:pPr>
        <w:jc w:val="right"/>
        <w:outlineLvl w:val="0"/>
        <w:rPr>
          <w:rFonts w:ascii="Arial" w:eastAsia="Arial" w:hAnsi="Arial" w:cs="Arial"/>
          <w:b/>
          <w:bCs/>
          <w:color w:val="000000"/>
          <w:u w:color="000000"/>
        </w:rPr>
      </w:pPr>
      <w:r>
        <w:rPr>
          <w:rFonts w:ascii="Arial" w:eastAsia="Arial" w:hAnsi="Arial" w:cs="Arial"/>
          <w:b/>
          <w:bCs/>
          <w:noProof/>
          <w:color w:val="000000"/>
          <w:u w:color="000000"/>
          <w:lang w:val="ru-RU" w:eastAsia="ru-RU"/>
        </w:rPr>
        <w:pict>
          <v:line id="officeArt object" o:spid="_x0000_s1026" style="position:absolute;left:0;text-align:left;z-index:251659264;visibility:visible;mso-wrap-distance-left:4.5pt;mso-wrap-distance-top:4.5pt;mso-wrap-distance-right:4.5pt;mso-wrap-distance-bottom:4.5pt;mso-position-vertical-relative:line" from="-2pt,10.8pt" to="548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" strokeweight="4.5pt">
            <w10:wrap type="topAndBottom"/>
          </v:line>
        </w:pict>
      </w:r>
    </w:p>
    <w:p w:rsidR="00F61612" w:rsidRPr="00576F3F" w:rsidRDefault="0078679F" w:rsidP="00170357">
      <w:pPr>
        <w:jc w:val="right"/>
        <w:outlineLvl w:val="0"/>
        <w:rPr>
          <w:rFonts w:eastAsia="Times New Roman"/>
          <w:color w:val="000000"/>
          <w:u w:color="000000"/>
        </w:rPr>
      </w:pPr>
      <w:r w:rsidRPr="00004CE5">
        <w:rPr>
          <w:rFonts w:hAnsi="Arial Unicode MS" w:cs="Arial Unicode MS"/>
          <w:color w:val="000000"/>
          <w:u w:color="000000"/>
        </w:rPr>
        <w:t xml:space="preserve">   </w:t>
      </w:r>
      <w:r w:rsidR="00170357">
        <w:rPr>
          <w:rFonts w:hAnsi="Arial Unicode MS" w:cs="Arial Unicode MS"/>
          <w:color w:val="000000"/>
          <w:u w:color="000000"/>
        </w:rPr>
        <w:t xml:space="preserve">                               </w:t>
      </w:r>
    </w:p>
    <w:p w:rsidR="00004CE5" w:rsidRPr="006B16E8" w:rsidRDefault="00004CE5">
      <w:pPr>
        <w:jc w:val="center"/>
        <w:outlineLvl w:val="0"/>
        <w:rPr>
          <w:rFonts w:hAnsi="Arial Unicode MS" w:cs="Arial Unicode MS"/>
          <w:bCs/>
          <w:i/>
          <w:iCs/>
          <w:color w:val="000000"/>
          <w:u w:color="000000"/>
        </w:rPr>
      </w:pPr>
    </w:p>
    <w:p w:rsidR="00576F3F" w:rsidRPr="0086465D" w:rsidRDefault="006B16E8" w:rsidP="00576F3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ПОЛОЖЕНИЕ</w:t>
      </w:r>
      <w:r w:rsidR="0086465D" w:rsidRPr="0086465D">
        <w:rPr>
          <w:b/>
          <w:sz w:val="44"/>
          <w:szCs w:val="44"/>
          <w:lang w:val="ru-RU"/>
        </w:rPr>
        <w:t xml:space="preserve"> </w:t>
      </w:r>
    </w:p>
    <w:p w:rsidR="00576F3F" w:rsidRDefault="0086465D" w:rsidP="00576F3F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Организаций входящих в структуру</w:t>
      </w:r>
    </w:p>
    <w:p w:rsidR="0086465D" w:rsidRPr="00576F3F" w:rsidRDefault="0086465D" w:rsidP="00576F3F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ОХРАННОГО ХОЛДИНГА</w:t>
      </w:r>
    </w:p>
    <w:p w:rsidR="00576F3F" w:rsidRPr="00576F3F" w:rsidRDefault="0086465D" w:rsidP="00576F3F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«БАРС</w:t>
      </w:r>
      <w:r w:rsidR="00576F3F" w:rsidRPr="00576F3F">
        <w:rPr>
          <w:b/>
          <w:sz w:val="36"/>
          <w:szCs w:val="36"/>
          <w:lang w:val="ru-RU"/>
        </w:rPr>
        <w:t>»</w:t>
      </w:r>
    </w:p>
    <w:p w:rsidR="00576F3F" w:rsidRPr="00576F3F" w:rsidRDefault="00576F3F" w:rsidP="00576F3F">
      <w:pPr>
        <w:jc w:val="center"/>
        <w:rPr>
          <w:b/>
          <w:sz w:val="36"/>
          <w:szCs w:val="36"/>
          <w:lang w:val="ru-RU"/>
        </w:rPr>
      </w:pPr>
      <w:r w:rsidRPr="00576F3F">
        <w:rPr>
          <w:b/>
          <w:sz w:val="36"/>
          <w:szCs w:val="36"/>
          <w:lang w:val="ru-RU"/>
        </w:rPr>
        <w:t>в отношении обработки персональных данных</w:t>
      </w:r>
    </w:p>
    <w:p w:rsidR="00576F3F" w:rsidRPr="00576F3F" w:rsidRDefault="00576F3F" w:rsidP="00576F3F">
      <w:pPr>
        <w:jc w:val="center"/>
        <w:rPr>
          <w:b/>
          <w:sz w:val="26"/>
          <w:szCs w:val="26"/>
          <w:lang w:val="ru-RU"/>
        </w:rPr>
      </w:pPr>
    </w:p>
    <w:p w:rsidR="00A35FD6" w:rsidRPr="00A35FD6" w:rsidRDefault="00A35FD6" w:rsidP="00A35FD6">
      <w:pPr>
        <w:jc w:val="center"/>
        <w:rPr>
          <w:b/>
          <w:lang w:val="ru-RU"/>
        </w:rPr>
      </w:pPr>
      <w:r w:rsidRPr="00A35FD6">
        <w:rPr>
          <w:b/>
          <w:lang w:val="ru-RU"/>
        </w:rPr>
        <w:t>1. Общие положения</w:t>
      </w:r>
    </w:p>
    <w:p w:rsidR="00A35FD6" w:rsidRDefault="00A35FD6" w:rsidP="00A35FD6">
      <w:pPr>
        <w:autoSpaceDE w:val="0"/>
        <w:autoSpaceDN w:val="0"/>
        <w:adjustRightInd w:val="0"/>
        <w:jc w:val="both"/>
        <w:rPr>
          <w:b/>
          <w:lang w:val="ru-RU"/>
        </w:rPr>
      </w:pPr>
      <w:r w:rsidRPr="00A35FD6">
        <w:rPr>
          <w:lang w:val="ru-RU"/>
        </w:rPr>
        <w:t xml:space="preserve">1.1. Настоящим Положением определяется порядок обработки персональных данных работников </w:t>
      </w:r>
      <w:r>
        <w:rPr>
          <w:lang w:val="ru-RU"/>
        </w:rPr>
        <w:t xml:space="preserve">организаций входящих в структуру </w:t>
      </w:r>
      <w:r>
        <w:rPr>
          <w:b/>
          <w:lang w:val="ru-RU"/>
        </w:rPr>
        <w:t>ОХРАННОГО ХОЛДИНГА «БАРС» :</w:t>
      </w:r>
    </w:p>
    <w:p w:rsidR="00A35FD6" w:rsidRPr="00A35FD6" w:rsidRDefault="00A35FD6" w:rsidP="003F0E27">
      <w:pPr>
        <w:ind w:firstLine="720"/>
        <w:jc w:val="both"/>
        <w:rPr>
          <w:lang w:val="ru-RU"/>
        </w:rPr>
      </w:pPr>
      <w:r>
        <w:rPr>
          <w:b/>
          <w:lang w:val="ru-RU"/>
        </w:rPr>
        <w:t>ООО ЧОО «Барс», ООО ЧОП «БАРС», ООО ЧОО «БАРС», ООО ЧОП «Акула», ООО ЧОО «АКУЛА-БЕЗОПАСНОСТЬ», ООО ЧОО «Желдорспецохрана», ООО ЧОП «ЖЕЛДОР-СПЕЦОХРАНА», ООО ЧОО «МЕДВЕДЬ», ООО ЧОО «Медведь»,  ООО ЧОО «Премьер Сателлит», ООО ЧОО «РусОхрана Групп», ООО ЧОО ТРАНСБЕЗОПАСНОСТЬ»,  ООО ЧОО «ФАЛЬКОН», ООО  «ЭлеКонт», ООО «КИБЕР-ГАРД»</w:t>
      </w:r>
      <w:r w:rsidR="002F59F6">
        <w:rPr>
          <w:b/>
          <w:lang w:val="ru-RU"/>
        </w:rPr>
        <w:t xml:space="preserve">, Детективное агентство «ЛиК», ООО «АССОЛЮКС» </w:t>
      </w:r>
      <w:r>
        <w:rPr>
          <w:b/>
          <w:lang w:val="ru-RU"/>
        </w:rPr>
        <w:t xml:space="preserve"> </w:t>
      </w:r>
      <w:r w:rsidRPr="00A35FD6">
        <w:rPr>
          <w:lang w:val="ru-RU"/>
        </w:rPr>
        <w:t>(далее – Компания, Оператор).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1.2.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</w:p>
    <w:p w:rsidR="00A35FD6" w:rsidRPr="00A35FD6" w:rsidRDefault="00A35FD6" w:rsidP="00A35FD6">
      <w:pPr>
        <w:ind w:firstLine="720"/>
        <w:jc w:val="center"/>
        <w:rPr>
          <w:b/>
          <w:lang w:val="ru-RU"/>
        </w:rPr>
      </w:pPr>
      <w:r w:rsidRPr="00A35FD6">
        <w:rPr>
          <w:b/>
          <w:lang w:val="ru-RU"/>
        </w:rPr>
        <w:t>2. Основные понятия. Состав персональных данных работников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2.1. Для целей настоящего Положения используются следующие основные понятия: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 (п. 1 ст. 3 Федерального закона от 27.07.2006 </w:t>
      </w:r>
      <w:r w:rsidRPr="00BA1F8B">
        <w:t>N</w:t>
      </w:r>
      <w:r w:rsidRPr="00A35FD6">
        <w:rPr>
          <w:lang w:val="ru-RU"/>
        </w:rPr>
        <w:t xml:space="preserve"> 152-ФЗ);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lastRenderedPageBreak/>
        <w:t xml:space="preserve"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(п. 2 ст. 3 Федерального закона от 27.07.2006 </w:t>
      </w:r>
      <w:r w:rsidRPr="00BA1F8B">
        <w:t>N</w:t>
      </w:r>
      <w:r w:rsidRPr="00A35FD6">
        <w:rPr>
          <w:lang w:val="ru-RU"/>
        </w:rPr>
        <w:t xml:space="preserve"> 152-ФЗ);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 xml:space="preserve"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 3 ст. 3 Федерального закона от 27.07.2006 </w:t>
      </w:r>
      <w:r w:rsidRPr="00BA1F8B">
        <w:t>N</w:t>
      </w:r>
      <w:r w:rsidRPr="00A35FD6">
        <w:rPr>
          <w:lang w:val="ru-RU"/>
        </w:rPr>
        <w:t xml:space="preserve"> 152-ФЗ);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 xml:space="preserve">распространение персональных данных - действия, направленные на раскрытие персональных данных работников неопределенному кругу лиц (п. 5 ст. 3 Федерального закона от 27.07.2006 </w:t>
      </w:r>
      <w:r w:rsidRPr="00BA1F8B">
        <w:t>N</w:t>
      </w:r>
      <w:r w:rsidRPr="00A35FD6">
        <w:rPr>
          <w:lang w:val="ru-RU"/>
        </w:rPr>
        <w:t xml:space="preserve"> 152-ФЗ);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 xml:space="preserve"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(п. 6 ст. 3 Федерального закона от 27.07.2006 </w:t>
      </w:r>
      <w:r w:rsidRPr="00BA1F8B">
        <w:t>N</w:t>
      </w:r>
      <w:r w:rsidRPr="00A35FD6">
        <w:rPr>
          <w:lang w:val="ru-RU"/>
        </w:rPr>
        <w:t xml:space="preserve"> 152-ФЗ);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 xml:space="preserve"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(п. 7 ст. 3 Федерального закона от 27.07.2006 </w:t>
      </w:r>
      <w:r w:rsidRPr="00BA1F8B">
        <w:t>N</w:t>
      </w:r>
      <w:r w:rsidRPr="00A35FD6">
        <w:rPr>
          <w:lang w:val="ru-RU"/>
        </w:rPr>
        <w:t xml:space="preserve"> 152-ФЗ);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 xml:space="preserve"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(п. 8 ст. 3 Федерального закона от 27.07.2006 </w:t>
      </w:r>
      <w:r w:rsidRPr="00BA1F8B">
        <w:t>N</w:t>
      </w:r>
      <w:r w:rsidRPr="00A35FD6">
        <w:rPr>
          <w:lang w:val="ru-RU"/>
        </w:rPr>
        <w:t xml:space="preserve"> 152-ФЗ);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 xml:space="preserve"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(п. 9 ст. 3 Федерального закона от 27.07.2006 </w:t>
      </w:r>
      <w:r w:rsidRPr="00BA1F8B">
        <w:t>N</w:t>
      </w:r>
      <w:r w:rsidRPr="00A35FD6">
        <w:rPr>
          <w:lang w:val="ru-RU"/>
        </w:rPr>
        <w:t xml:space="preserve"> 152-ФЗ).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2.2. Если иное не установлено Трудовым кодексом РФ, другими федеральными законами, при заключении трудового договора лицо, поступающее на работу, предъявляет работодателю: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паспорт или иной документ, удостоверяющий личность;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трудовую книжку и (или) сведения о трудовой деятельности (СТД-Р или СТД-ПФР), за исключением случаев, когда договор заключается впервые;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документы воинского учета - для военнообязанных и лиц, подлежащих призыву на военную службу;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кодексом РФ или иным федеральным законом не допускаются лица, имеющие или имевшие судимость, подвергающиеся или подвергавшиеся уголовному преследованию) (п. п. 6, 7 Административного регламента, утвержденного Приказом МВД России от 27.09.2019 </w:t>
      </w:r>
      <w:r w:rsidRPr="00BA1F8B">
        <w:t>N</w:t>
      </w:r>
      <w:r w:rsidRPr="00A35FD6">
        <w:rPr>
          <w:lang w:val="ru-RU"/>
        </w:rPr>
        <w:t xml:space="preserve"> 660);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 xml:space="preserve">справку, выданную органами МВД России,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- при поступлении на работу, к которой в соответствии с федеральными законами не допускаются лица, подвергнутые такому наказанию до окончания срока, в течение которого они считаются подвергнутыми административному наказанию (п. п. 14, 15 Административного регламента, утвержденного Приказом МВД России от 24.10.2016 </w:t>
      </w:r>
      <w:r w:rsidRPr="00BA1F8B">
        <w:t>N</w:t>
      </w:r>
      <w:r w:rsidRPr="00A35FD6">
        <w:rPr>
          <w:lang w:val="ru-RU"/>
        </w:rPr>
        <w:t xml:space="preserve"> 665);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действующее удостоверение частного охранника;</w:t>
      </w:r>
    </w:p>
    <w:p w:rsidR="00A35FD6" w:rsidRPr="00A35FD6" w:rsidRDefault="00A35FD6" w:rsidP="00A35FD6">
      <w:pPr>
        <w:autoSpaceDE w:val="0"/>
        <w:autoSpaceDN w:val="0"/>
        <w:adjustRightInd w:val="0"/>
        <w:ind w:left="284"/>
        <w:jc w:val="both"/>
        <w:rPr>
          <w:lang w:val="ru-RU"/>
        </w:rPr>
      </w:pPr>
      <w:r w:rsidRPr="00A35FD6">
        <w:rPr>
          <w:lang w:val="ru-RU"/>
        </w:rPr>
        <w:t xml:space="preserve">      медицинскую справку установленной формы,  содержащую результаты медицинского</w:t>
      </w:r>
    </w:p>
    <w:p w:rsidR="00A35FD6" w:rsidRPr="00A35FD6" w:rsidRDefault="00A35FD6" w:rsidP="00A35FD6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A35FD6">
        <w:rPr>
          <w:lang w:val="ru-RU"/>
        </w:rPr>
        <w:lastRenderedPageBreak/>
        <w:t xml:space="preserve">освидетельствования на наличие медицинских противопоказаний   </w:t>
      </w:r>
      <w:r w:rsidRPr="00A35FD6">
        <w:rPr>
          <w:color w:val="000000"/>
          <w:shd w:val="clear" w:color="auto" w:fill="FFFFFF"/>
          <w:lang w:val="ru-RU"/>
        </w:rPr>
        <w:t>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 в форме медицинского заключения об отсутствии медицинских противопоказаний к исполнению обязанностей частного охранника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 xml:space="preserve">дополнительные документы - в отдельных случаях, предусмотренных Трудовым кодексом РФ, иными федеральными законами, указами Президента РФ и постановлениями Правительства РФ. </w:t>
      </w:r>
    </w:p>
    <w:p w:rsidR="00A35FD6" w:rsidRPr="00A35FD6" w:rsidRDefault="00A35FD6" w:rsidP="00A35FD6">
      <w:pPr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  <w:lang w:val="ru-RU"/>
        </w:rPr>
      </w:pPr>
      <w:r w:rsidRPr="00A35FD6">
        <w:rPr>
          <w:lang w:val="ru-RU"/>
        </w:rPr>
        <w:t xml:space="preserve">В том числе в соответствии с уставной деятельностью Оператора и на основании Федерального </w:t>
      </w:r>
      <w:r w:rsidRPr="00A35FD6">
        <w:rPr>
          <w:color w:val="000000"/>
          <w:lang w:val="ru-RU"/>
        </w:rPr>
        <w:t xml:space="preserve">Закона  от 11.03.1992 </w:t>
      </w:r>
      <w:r w:rsidRPr="00EF1634">
        <w:rPr>
          <w:color w:val="000000"/>
        </w:rPr>
        <w:t>N</w:t>
      </w:r>
      <w:r w:rsidRPr="00A35FD6">
        <w:rPr>
          <w:color w:val="000000"/>
          <w:lang w:val="ru-RU"/>
        </w:rPr>
        <w:t xml:space="preserve"> 2487-1</w:t>
      </w:r>
      <w:r w:rsidRPr="00EF1634">
        <w:rPr>
          <w:color w:val="000000"/>
        </w:rPr>
        <w:t> </w:t>
      </w:r>
      <w:r w:rsidRPr="00A35FD6">
        <w:rPr>
          <w:color w:val="000000"/>
          <w:lang w:val="ru-RU"/>
        </w:rPr>
        <w:t xml:space="preserve">"О частной детективной и охранной деятельности    в Российской Федерации" </w:t>
      </w:r>
      <w:r w:rsidRPr="00A35FD6">
        <w:rPr>
          <w:lang w:val="ru-RU"/>
        </w:rPr>
        <w:t xml:space="preserve">документы, подтверждающие отсутствие </w:t>
      </w:r>
      <w:r w:rsidRPr="00A35FD6">
        <w:rPr>
          <w:color w:val="000000"/>
          <w:shd w:val="clear" w:color="auto" w:fill="FFFFFF"/>
          <w:lang w:val="ru-RU"/>
        </w:rPr>
        <w:t>препятствий для исполнению обязанностей частного охранника.</w:t>
      </w:r>
    </w:p>
    <w:p w:rsidR="00A35FD6" w:rsidRPr="00A35FD6" w:rsidRDefault="00A35FD6" w:rsidP="00A35FD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A35FD6">
        <w:rPr>
          <w:lang w:val="ru-RU"/>
        </w:rPr>
        <w:t>2.3. В отделе кадров Компании создаются и хранятся следующие группы документов, содержащие данные о работниках в единичном или сводном виде: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2.3.1. Документы, содержащие персональные данные работников: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комплекс материалов по анкетированию, тестированию, проведению собеседований с кандидатом на должность;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подлинники и копии приказов (распоряжений) по кадрам;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личные дела, трудовые книжки, сведения о трудовой деятельности работников (СТД-Р);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дела, содержащие материалы аттестаций работников;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дела, содержащие материалы внутренних расследований;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справочно-информационный банк данных по персоналу (картотеки, журналы);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2.3.2. Документация по организации работы структурных подразделений: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положения о структурных подразделениях;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должностные инструкции работников;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приказы, распоряжения, указания руководства Компании;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документы планирования, учета, анализа и отчетности по вопросам кадровой работы.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</w:p>
    <w:p w:rsidR="00A35FD6" w:rsidRPr="00A35FD6" w:rsidRDefault="00A35FD6" w:rsidP="00A35FD6">
      <w:pPr>
        <w:ind w:firstLine="720"/>
        <w:jc w:val="center"/>
        <w:rPr>
          <w:b/>
          <w:lang w:val="ru-RU"/>
        </w:rPr>
      </w:pPr>
      <w:r w:rsidRPr="00A35FD6">
        <w:rPr>
          <w:b/>
          <w:lang w:val="ru-RU"/>
        </w:rPr>
        <w:t>3. Обработка персональных данных работников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кодексом РФ и другими федеральными законами.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РФ или иными федеральными законами.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 xml:space="preserve">3.4. Обработка персональных данных работников работодателем возможна только с их согласия. Исключения составляют случаи, предусмотренные законодательством РФ (в частности, согласие не требуется при наличии оснований, перечисленных в п. п. 2 - 11 ч. 1 ст. 6, п. п. 2 - 10 ч. 2 ст. 10, ч. 2 ст. 11 Федерального закона от 27.07.2006 </w:t>
      </w:r>
      <w:r w:rsidRPr="00BA1F8B">
        <w:t>N</w:t>
      </w:r>
      <w:r w:rsidRPr="00A35FD6">
        <w:rPr>
          <w:lang w:val="ru-RU"/>
        </w:rPr>
        <w:t xml:space="preserve"> 152-ФЗ).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lastRenderedPageBreak/>
        <w:t xml:space="preserve">3.5. Письменное согласие работника на обработку своих персональных данных должно включать в себя, в частности, сведения, указанные в п. п. 1 - 9 ч. 4 ст. 9 Федерального закона от 27.07.2006 </w:t>
      </w:r>
      <w:r w:rsidRPr="00BA1F8B">
        <w:t>N</w:t>
      </w:r>
      <w:r w:rsidRPr="00A35FD6">
        <w:rPr>
          <w:lang w:val="ru-RU"/>
        </w:rPr>
        <w:t xml:space="preserve"> 152-ФЗ.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3.6. Работник Компании представляет в отдел кадров достоверные сведения о себе. Отдел кадров проверяет достоверность сведений.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3.7. В соответствии со ст. 86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3.7.1. При определении объема и содержания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3.7.2.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3.7.3.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Трудовым кодексом РФ и иными федеральными законами.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3.7.4. Работники и их представители должны быть ознакомлены под расписку с документами Компании, устанавливающими порядок обработки персональных данных, а также об их правах и обязанностях в этой области. Работники также могут ознакомится с Политикой о защите персональных данных на сайте компании.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3.7.5. Работники не должны отказываться от своих прав на сохранение и защиту тайны.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</w:p>
    <w:p w:rsidR="00A35FD6" w:rsidRPr="00A35FD6" w:rsidRDefault="00A35FD6" w:rsidP="00A35FD6">
      <w:pPr>
        <w:ind w:firstLine="720"/>
        <w:jc w:val="center"/>
        <w:rPr>
          <w:b/>
          <w:lang w:val="ru-RU"/>
        </w:rPr>
      </w:pPr>
      <w:r w:rsidRPr="00A35FD6">
        <w:rPr>
          <w:b/>
          <w:lang w:val="ru-RU"/>
        </w:rPr>
        <w:t>4. Передача персональных данных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4.1. При передаче персональных данных работника работодатель должен соблюдать следующие требования: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кодексом РФ или иными федеральными законами.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кодексом РФ и иными федеральными законами.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4.1.4. Осуществлять передачу персональных данных работников в пределах Компании в соответствии с настоящим Положением, с которым работники должны быть ознакомлены под подпись.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 xml:space="preserve"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функции, в соответствии Федерального закона от 09.02.2007 № 16-ФЗ «О транспортной безопасности» выполнение которых требует  подтверждение отсутствия ограничений при выполнении работ, непосредственно связанных с обеспечением транспортной безопасности 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4.1.7. Передавать персональные данные работника представителям работников в порядке, установленном Трудовым кодексом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lastRenderedPageBreak/>
        <w:t>4.2. Персональные данные работников обрабатываются и хранятся в отделе кадров.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4.3.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 xml:space="preserve">4.4. При получении персональных данных не от работника (за исключением случаев, предусмотренных ч. 4 ст. 18 Федерального закона от 27.07.2006 </w:t>
      </w:r>
      <w:r w:rsidRPr="00BA1F8B">
        <w:t>N</w:t>
      </w:r>
      <w:r w:rsidRPr="00A35FD6">
        <w:rPr>
          <w:lang w:val="ru-RU"/>
        </w:rPr>
        <w:t xml:space="preserve"> 152-ФЗ) работодатель до начала обработки таких персональных данных обязан предоставить работнику следующую информацию: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- наименование (фамилия, имя, отчество) и адрес оператора или его представителя;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- цель обработки персональных данных и ее правовое основание;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- предполагаемые пользователи персональных данных;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 xml:space="preserve">-установленные Федеральным законом от 27.07.2006 </w:t>
      </w:r>
      <w:r w:rsidRPr="00BA1F8B">
        <w:t>N</w:t>
      </w:r>
      <w:r w:rsidRPr="00A35FD6">
        <w:rPr>
          <w:lang w:val="ru-RU"/>
        </w:rPr>
        <w:t xml:space="preserve"> 152-ФЗ права субъекта персональных данных;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- источник получения персональных данных.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</w:p>
    <w:p w:rsidR="00A35FD6" w:rsidRPr="00A35FD6" w:rsidRDefault="00A35FD6" w:rsidP="00A35FD6">
      <w:pPr>
        <w:ind w:firstLine="720"/>
        <w:jc w:val="center"/>
        <w:rPr>
          <w:b/>
          <w:lang w:val="ru-RU"/>
        </w:rPr>
      </w:pPr>
      <w:r w:rsidRPr="00A35FD6">
        <w:rPr>
          <w:b/>
          <w:lang w:val="ru-RU"/>
        </w:rPr>
        <w:t>5. Доступ к персональным данным работников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5.1. Право доступа к персональным данным работников имеют: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- руководитель Компании;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-заместители руководителя Компании;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- работники отдела кадров;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- работники бухгалтерского учета и отчетности;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- работники секретариата, делопроизводства (информация о фактическом месте проживания и контактные телефоны работников);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- работники юридического отдела;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 xml:space="preserve">- начальник охраны; 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-руководители структурных подразделений по направлению деятельности (доступ к персональным данным только работников своего подразделения);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- иные сотрудники Компании, имеющие доступ к персональным данным работников на основании приказа руководителя Компании об утверждении перечня лиц, имеющих доступ к персональным данным.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5.2. Работник Компании, в частности, имеет право: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5.2.2.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кодекса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</w:p>
    <w:p w:rsidR="00A35FD6" w:rsidRPr="00A35FD6" w:rsidRDefault="00A35FD6" w:rsidP="00A35FD6">
      <w:pPr>
        <w:ind w:firstLine="720"/>
        <w:jc w:val="center"/>
        <w:rPr>
          <w:b/>
          <w:lang w:val="ru-RU"/>
        </w:rPr>
      </w:pPr>
      <w:r w:rsidRPr="00A35FD6">
        <w:rPr>
          <w:b/>
          <w:lang w:val="ru-RU"/>
        </w:rPr>
        <w:t>6. Ответственность за нарушение норм, регулирующих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>обработку персональных данных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lastRenderedPageBreak/>
        <w:t>6.1.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кодексом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  <w:r w:rsidRPr="00A35FD6">
        <w:rPr>
          <w:lang w:val="ru-RU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законом от 27.07.2006 </w:t>
      </w:r>
      <w:r w:rsidRPr="00BA1F8B">
        <w:t>N</w:t>
      </w:r>
      <w:r w:rsidRPr="00A35FD6">
        <w:rPr>
          <w:lang w:val="ru-RU"/>
        </w:rPr>
        <w:t xml:space="preserve">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A35FD6" w:rsidRPr="00A35FD6" w:rsidRDefault="00A35FD6" w:rsidP="00A35FD6">
      <w:pPr>
        <w:ind w:firstLine="720"/>
        <w:jc w:val="both"/>
        <w:rPr>
          <w:lang w:val="ru-RU"/>
        </w:rPr>
      </w:pPr>
    </w:p>
    <w:p w:rsidR="00A35FD6" w:rsidRPr="00A35FD6" w:rsidRDefault="0001551A" w:rsidP="00A35FD6">
      <w:pPr>
        <w:ind w:left="708" w:firstLine="720"/>
        <w:jc w:val="center"/>
        <w:rPr>
          <w:b/>
          <w:lang w:val="ru-RU"/>
        </w:rPr>
      </w:pPr>
      <w:r>
        <w:rPr>
          <w:b/>
          <w:lang w:val="ru-RU"/>
        </w:rPr>
        <w:t>7</w:t>
      </w:r>
      <w:r w:rsidR="00A35FD6" w:rsidRPr="00A35FD6">
        <w:rPr>
          <w:b/>
          <w:lang w:val="ru-RU"/>
        </w:rPr>
        <w:t>. Внутренний контроль и аудит работы с персональными данными.</w:t>
      </w:r>
    </w:p>
    <w:p w:rsidR="00A35FD6" w:rsidRPr="0001551A" w:rsidRDefault="0001551A" w:rsidP="00A35FD6">
      <w:pPr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A35FD6" w:rsidRPr="00A35FD6">
        <w:rPr>
          <w:lang w:val="ru-RU"/>
        </w:rPr>
        <w:t xml:space="preserve">.1. С целью выявления и предупреждения нарушений  Законодательства в отношении обработки персональных данных руководитель Компании приказом создает Комиссию по внутреннему контролю и аудиту процесса обработки персональных данных, которая действует по  утвержденному </w:t>
      </w:r>
      <w:r w:rsidR="00B67F2A">
        <w:rPr>
          <w:lang w:val="ru-RU"/>
        </w:rPr>
        <w:t>Организацией</w:t>
      </w:r>
      <w:r w:rsidR="00A35FD6" w:rsidRPr="00A35FD6">
        <w:rPr>
          <w:lang w:val="ru-RU"/>
        </w:rPr>
        <w:t xml:space="preserve"> регламенту. </w:t>
      </w:r>
    </w:p>
    <w:p w:rsidR="00A35FD6" w:rsidRPr="0001551A" w:rsidRDefault="00A35FD6" w:rsidP="00A35FD6">
      <w:pPr>
        <w:ind w:firstLine="720"/>
        <w:rPr>
          <w:lang w:val="ru-RU"/>
        </w:rPr>
      </w:pPr>
      <w:r w:rsidRPr="0001551A">
        <w:rPr>
          <w:lang w:val="ru-RU"/>
        </w:rPr>
        <w:br w:type="page"/>
      </w:r>
    </w:p>
    <w:sectPr w:rsidR="00A35FD6" w:rsidRPr="0001551A" w:rsidSect="00170357">
      <w:headerReference w:type="default" r:id="rId12"/>
      <w:footerReference w:type="default" r:id="rId13"/>
      <w:pgSz w:w="11900" w:h="16840"/>
      <w:pgMar w:top="426" w:right="424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A4" w:rsidRDefault="009B59A4">
      <w:r>
        <w:separator/>
      </w:r>
    </w:p>
  </w:endnote>
  <w:endnote w:type="continuationSeparator" w:id="0">
    <w:p w:rsidR="009B59A4" w:rsidRDefault="009B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EC" w:rsidRDefault="0078679F">
    <w:pPr>
      <w:tabs>
        <w:tab w:val="center" w:pos="4677"/>
        <w:tab w:val="right" w:pos="9355"/>
      </w:tabs>
      <w:outlineLvl w:val="0"/>
    </w:pPr>
    <w:r>
      <w:rPr>
        <w:rFonts w:hAnsi="Arial Unicode MS" w:cs="Arial Unicode MS"/>
        <w:color w:val="000000"/>
        <w:sz w:val="20"/>
        <w:szCs w:val="20"/>
        <w:u w:color="000000"/>
        <w:lang w:val="ru-RU"/>
      </w:rPr>
      <w:t xml:space="preserve">                                                                            </w:t>
    </w:r>
    <w:r>
      <w:rPr>
        <w:rFonts w:ascii="Helvetica" w:hAnsi="Arial Unicode MS" w:cs="Arial Unicode MS"/>
        <w:i/>
        <w:iCs/>
        <w:color w:val="000000"/>
        <w:sz w:val="20"/>
        <w:szCs w:val="20"/>
        <w:u w:color="000000"/>
        <w:lang w:val="ru-RU"/>
      </w:rPr>
      <w:t>WWW.BARS-SECURITY.RU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A4" w:rsidRDefault="009B59A4">
      <w:r>
        <w:separator/>
      </w:r>
    </w:p>
  </w:footnote>
  <w:footnote w:type="continuationSeparator" w:id="0">
    <w:p w:rsidR="009B59A4" w:rsidRDefault="009B5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EC" w:rsidRDefault="008657B8">
    <w:pPr>
      <w:pStyle w:val="HeaderFooter"/>
      <w:tabs>
        <w:tab w:val="clear" w:pos="9360"/>
      </w:tabs>
      <w:jc w:val="center"/>
    </w:pPr>
    <w:r>
      <w:rPr>
        <w:noProof/>
      </w:rPr>
      <w:pict>
        <v:line id="_x0000_s2049" style="position:absolute;left:0;text-align:left;z-index:-251658240;visibility:visible;mso-wrap-distance-left:4.5pt;mso-wrap-distance-top:4.5pt;mso-wrap-distance-right:4.5pt;mso-wrap-distance-bottom:4.5pt;mso-position-horizontal-relative:page;mso-position-vertical-relative:page" from="105.5pt,781.1pt" to="465.5pt,781.6pt" strokeweight="2pt">
          <w10:wrap anchorx="page" anchory="page"/>
        </v:line>
      </w:pict>
    </w:r>
    <w:r w:rsidR="0078679F">
      <w:rPr>
        <w:noProof/>
      </w:rPr>
      <w:drawing>
        <wp:anchor distT="57150" distB="57150" distL="57150" distR="57150" simplePos="0" relativeHeight="251657216" behindDoc="1" locked="0" layoutInCell="1" allowOverlap="1">
          <wp:simplePos x="0" y="0"/>
          <wp:positionH relativeFrom="page">
            <wp:posOffset>2433955</wp:posOffset>
          </wp:positionH>
          <wp:positionV relativeFrom="page">
            <wp:posOffset>9946640</wp:posOffset>
          </wp:positionV>
          <wp:extent cx="248285" cy="27114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фирм_знак_БАРС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711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C24EC34"/>
    <w:lvl w:ilvl="0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  <w:rPr>
        <w:rFonts w:cs="Times New Roman"/>
      </w:rPr>
    </w:lvl>
  </w:abstractNum>
  <w:abstractNum w:abstractNumId="1">
    <w:nsid w:val="0000000D"/>
    <w:multiLevelType w:val="multilevel"/>
    <w:tmpl w:val="584E035C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02287A70"/>
    <w:multiLevelType w:val="multilevel"/>
    <w:tmpl w:val="F554437A"/>
    <w:lvl w:ilvl="0">
      <w:start w:val="1"/>
      <w:numFmt w:val="bullet"/>
      <w:lvlText w:val="-"/>
      <w:lvlJc w:val="left"/>
      <w:pPr>
        <w:tabs>
          <w:tab w:val="num" w:pos="180"/>
        </w:tabs>
        <w:ind w:left="180" w:hanging="180"/>
      </w:pPr>
      <w:rPr>
        <w:color w:val="000000"/>
        <w:position w:val="-2"/>
        <w:sz w:val="24"/>
        <w:szCs w:val="24"/>
        <w:u w:color="000000"/>
      </w:rPr>
    </w:lvl>
    <w:lvl w:ilvl="1">
      <w:start w:val="1"/>
      <w:numFmt w:val="bullet"/>
      <w:lvlText w:val="-"/>
      <w:lvlJc w:val="left"/>
      <w:pPr>
        <w:tabs>
          <w:tab w:val="num" w:pos="540"/>
        </w:tabs>
        <w:ind w:left="540" w:hanging="180"/>
      </w:pPr>
      <w:rPr>
        <w:color w:val="000000"/>
        <w:position w:val="-2"/>
        <w:sz w:val="24"/>
        <w:szCs w:val="24"/>
        <w:u w:color="000000"/>
      </w:rPr>
    </w:lvl>
    <w:lvl w:ilvl="2">
      <w:start w:val="1"/>
      <w:numFmt w:val="bullet"/>
      <w:lvlText w:val="-"/>
      <w:lvlJc w:val="left"/>
      <w:pPr>
        <w:tabs>
          <w:tab w:val="num" w:pos="900"/>
        </w:tabs>
        <w:ind w:left="900" w:hanging="180"/>
      </w:pPr>
      <w:rPr>
        <w:color w:val="000000"/>
        <w:position w:val="-2"/>
        <w:sz w:val="24"/>
        <w:szCs w:val="24"/>
        <w:u w:color="000000"/>
      </w:rPr>
    </w:lvl>
    <w:lvl w:ilvl="3">
      <w:start w:val="1"/>
      <w:numFmt w:val="bullet"/>
      <w:lvlText w:val="-"/>
      <w:lvlJc w:val="left"/>
      <w:pPr>
        <w:tabs>
          <w:tab w:val="num" w:pos="1260"/>
        </w:tabs>
        <w:ind w:left="1260" w:hanging="180"/>
      </w:pPr>
      <w:rPr>
        <w:color w:val="000000"/>
        <w:position w:val="-2"/>
        <w:sz w:val="24"/>
        <w:szCs w:val="24"/>
        <w:u w:color="000000"/>
      </w:rPr>
    </w:lvl>
    <w:lvl w:ilvl="4">
      <w:start w:val="1"/>
      <w:numFmt w:val="bullet"/>
      <w:lvlText w:val="-"/>
      <w:lvlJc w:val="left"/>
      <w:pPr>
        <w:tabs>
          <w:tab w:val="num" w:pos="1620"/>
        </w:tabs>
        <w:ind w:left="1620" w:hanging="180"/>
      </w:pPr>
      <w:rPr>
        <w:color w:val="000000"/>
        <w:position w:val="-2"/>
        <w:sz w:val="24"/>
        <w:szCs w:val="24"/>
        <w:u w:color="000000"/>
      </w:rPr>
    </w:lvl>
    <w:lvl w:ilvl="5">
      <w:start w:val="1"/>
      <w:numFmt w:val="bullet"/>
      <w:lvlText w:val="-"/>
      <w:lvlJc w:val="left"/>
      <w:pPr>
        <w:tabs>
          <w:tab w:val="num" w:pos="1980"/>
        </w:tabs>
        <w:ind w:left="1980" w:hanging="180"/>
      </w:pPr>
      <w:rPr>
        <w:color w:val="000000"/>
        <w:position w:val="-2"/>
        <w:sz w:val="24"/>
        <w:szCs w:val="24"/>
        <w:u w:color="000000"/>
      </w:rPr>
    </w:lvl>
    <w:lvl w:ilvl="6">
      <w:start w:val="1"/>
      <w:numFmt w:val="bullet"/>
      <w:lvlText w:val="-"/>
      <w:lvlJc w:val="left"/>
      <w:pPr>
        <w:tabs>
          <w:tab w:val="num" w:pos="2340"/>
        </w:tabs>
        <w:ind w:left="2340" w:hanging="180"/>
      </w:pPr>
      <w:rPr>
        <w:color w:val="000000"/>
        <w:position w:val="-2"/>
        <w:sz w:val="24"/>
        <w:szCs w:val="24"/>
        <w:u w:color="000000"/>
      </w:rPr>
    </w:lvl>
    <w:lvl w:ilvl="7">
      <w:start w:val="1"/>
      <w:numFmt w:val="bullet"/>
      <w:lvlText w:val="-"/>
      <w:lvlJc w:val="left"/>
      <w:pPr>
        <w:tabs>
          <w:tab w:val="num" w:pos="2700"/>
        </w:tabs>
        <w:ind w:left="2700" w:hanging="180"/>
      </w:pPr>
      <w:rPr>
        <w:color w:val="000000"/>
        <w:position w:val="-2"/>
        <w:sz w:val="24"/>
        <w:szCs w:val="24"/>
        <w:u w:color="000000"/>
      </w:rPr>
    </w:lvl>
    <w:lvl w:ilvl="8">
      <w:start w:val="1"/>
      <w:numFmt w:val="bullet"/>
      <w:lvlText w:val="-"/>
      <w:lvlJc w:val="left"/>
      <w:pPr>
        <w:tabs>
          <w:tab w:val="num" w:pos="3060"/>
        </w:tabs>
        <w:ind w:left="3060" w:hanging="180"/>
      </w:pPr>
      <w:rPr>
        <w:color w:val="000000"/>
        <w:position w:val="-2"/>
        <w:sz w:val="24"/>
        <w:szCs w:val="24"/>
        <w:u w:color="000000"/>
      </w:rPr>
    </w:lvl>
  </w:abstractNum>
  <w:abstractNum w:abstractNumId="3">
    <w:nsid w:val="10A36D08"/>
    <w:multiLevelType w:val="multilevel"/>
    <w:tmpl w:val="403815EE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4">
    <w:nsid w:val="44146C12"/>
    <w:multiLevelType w:val="hybridMultilevel"/>
    <w:tmpl w:val="978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F1F22"/>
    <w:multiLevelType w:val="hybridMultilevel"/>
    <w:tmpl w:val="162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B4F28"/>
    <w:multiLevelType w:val="multilevel"/>
    <w:tmpl w:val="FB50F056"/>
    <w:styleLink w:val="List0"/>
    <w:lvl w:ilvl="0">
      <w:numFmt w:val="bullet"/>
      <w:lvlText w:val="-"/>
      <w:lvlJc w:val="left"/>
      <w:pPr>
        <w:tabs>
          <w:tab w:val="num" w:pos="180"/>
        </w:tabs>
        <w:ind w:left="180" w:hanging="180"/>
      </w:pPr>
      <w:rPr>
        <w:color w:val="000000"/>
        <w:position w:val="-2"/>
        <w:sz w:val="20"/>
        <w:szCs w:val="20"/>
        <w:u w:color="000000"/>
      </w:rPr>
    </w:lvl>
    <w:lvl w:ilvl="1">
      <w:start w:val="1"/>
      <w:numFmt w:val="bullet"/>
      <w:lvlText w:val="-"/>
      <w:lvlJc w:val="left"/>
      <w:pPr>
        <w:tabs>
          <w:tab w:val="num" w:pos="540"/>
        </w:tabs>
        <w:ind w:left="540" w:hanging="180"/>
      </w:pPr>
      <w:rPr>
        <w:color w:val="000000"/>
        <w:position w:val="-2"/>
        <w:sz w:val="24"/>
        <w:szCs w:val="24"/>
        <w:u w:color="000000"/>
      </w:rPr>
    </w:lvl>
    <w:lvl w:ilvl="2">
      <w:start w:val="1"/>
      <w:numFmt w:val="bullet"/>
      <w:lvlText w:val="-"/>
      <w:lvlJc w:val="left"/>
      <w:pPr>
        <w:tabs>
          <w:tab w:val="num" w:pos="900"/>
        </w:tabs>
        <w:ind w:left="900" w:hanging="180"/>
      </w:pPr>
      <w:rPr>
        <w:color w:val="000000"/>
        <w:position w:val="-2"/>
        <w:sz w:val="24"/>
        <w:szCs w:val="24"/>
        <w:u w:color="000000"/>
      </w:rPr>
    </w:lvl>
    <w:lvl w:ilvl="3">
      <w:start w:val="1"/>
      <w:numFmt w:val="bullet"/>
      <w:lvlText w:val="-"/>
      <w:lvlJc w:val="left"/>
      <w:pPr>
        <w:tabs>
          <w:tab w:val="num" w:pos="1260"/>
        </w:tabs>
        <w:ind w:left="1260" w:hanging="180"/>
      </w:pPr>
      <w:rPr>
        <w:color w:val="000000"/>
        <w:position w:val="-2"/>
        <w:sz w:val="24"/>
        <w:szCs w:val="24"/>
        <w:u w:color="000000"/>
      </w:rPr>
    </w:lvl>
    <w:lvl w:ilvl="4">
      <w:start w:val="1"/>
      <w:numFmt w:val="bullet"/>
      <w:lvlText w:val="-"/>
      <w:lvlJc w:val="left"/>
      <w:pPr>
        <w:tabs>
          <w:tab w:val="num" w:pos="1620"/>
        </w:tabs>
        <w:ind w:left="1620" w:hanging="180"/>
      </w:pPr>
      <w:rPr>
        <w:color w:val="000000"/>
        <w:position w:val="-2"/>
        <w:sz w:val="24"/>
        <w:szCs w:val="24"/>
        <w:u w:color="000000"/>
      </w:rPr>
    </w:lvl>
    <w:lvl w:ilvl="5">
      <w:start w:val="1"/>
      <w:numFmt w:val="bullet"/>
      <w:lvlText w:val="-"/>
      <w:lvlJc w:val="left"/>
      <w:pPr>
        <w:tabs>
          <w:tab w:val="num" w:pos="1980"/>
        </w:tabs>
        <w:ind w:left="1980" w:hanging="180"/>
      </w:pPr>
      <w:rPr>
        <w:color w:val="000000"/>
        <w:position w:val="-2"/>
        <w:sz w:val="24"/>
        <w:szCs w:val="24"/>
        <w:u w:color="000000"/>
      </w:rPr>
    </w:lvl>
    <w:lvl w:ilvl="6">
      <w:start w:val="1"/>
      <w:numFmt w:val="bullet"/>
      <w:lvlText w:val="-"/>
      <w:lvlJc w:val="left"/>
      <w:pPr>
        <w:tabs>
          <w:tab w:val="num" w:pos="2340"/>
        </w:tabs>
        <w:ind w:left="2340" w:hanging="180"/>
      </w:pPr>
      <w:rPr>
        <w:color w:val="000000"/>
        <w:position w:val="-2"/>
        <w:sz w:val="24"/>
        <w:szCs w:val="24"/>
        <w:u w:color="000000"/>
      </w:rPr>
    </w:lvl>
    <w:lvl w:ilvl="7">
      <w:start w:val="1"/>
      <w:numFmt w:val="bullet"/>
      <w:lvlText w:val="-"/>
      <w:lvlJc w:val="left"/>
      <w:pPr>
        <w:tabs>
          <w:tab w:val="num" w:pos="2700"/>
        </w:tabs>
        <w:ind w:left="2700" w:hanging="180"/>
      </w:pPr>
      <w:rPr>
        <w:color w:val="000000"/>
        <w:position w:val="-2"/>
        <w:sz w:val="24"/>
        <w:szCs w:val="24"/>
        <w:u w:color="000000"/>
      </w:rPr>
    </w:lvl>
    <w:lvl w:ilvl="8">
      <w:start w:val="1"/>
      <w:numFmt w:val="bullet"/>
      <w:lvlText w:val="-"/>
      <w:lvlJc w:val="left"/>
      <w:pPr>
        <w:tabs>
          <w:tab w:val="num" w:pos="3060"/>
        </w:tabs>
        <w:ind w:left="3060" w:hanging="180"/>
      </w:pPr>
      <w:rPr>
        <w:color w:val="000000"/>
        <w:position w:val="-2"/>
        <w:sz w:val="24"/>
        <w:szCs w:val="24"/>
        <w:u w:color="000000"/>
      </w:rPr>
    </w:lvl>
  </w:abstractNum>
  <w:abstractNum w:abstractNumId="7">
    <w:nsid w:val="56FD63E7"/>
    <w:multiLevelType w:val="hybridMultilevel"/>
    <w:tmpl w:val="AD5C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2FEC"/>
    <w:rsid w:val="00004CE5"/>
    <w:rsid w:val="0001551A"/>
    <w:rsid w:val="00021830"/>
    <w:rsid w:val="000218FA"/>
    <w:rsid w:val="00082FEC"/>
    <w:rsid w:val="000B52C2"/>
    <w:rsid w:val="00170357"/>
    <w:rsid w:val="001A3DD2"/>
    <w:rsid w:val="001B1526"/>
    <w:rsid w:val="00214946"/>
    <w:rsid w:val="002F59F6"/>
    <w:rsid w:val="0030221A"/>
    <w:rsid w:val="0030474B"/>
    <w:rsid w:val="00383140"/>
    <w:rsid w:val="003A3A92"/>
    <w:rsid w:val="003D4161"/>
    <w:rsid w:val="003F0E27"/>
    <w:rsid w:val="0043479F"/>
    <w:rsid w:val="00576F3F"/>
    <w:rsid w:val="005E598D"/>
    <w:rsid w:val="00626E8A"/>
    <w:rsid w:val="00686836"/>
    <w:rsid w:val="006B16E8"/>
    <w:rsid w:val="0078679F"/>
    <w:rsid w:val="007B4C41"/>
    <w:rsid w:val="007D641A"/>
    <w:rsid w:val="00856488"/>
    <w:rsid w:val="0086465D"/>
    <w:rsid w:val="008657B8"/>
    <w:rsid w:val="008B594A"/>
    <w:rsid w:val="0093742F"/>
    <w:rsid w:val="009709A4"/>
    <w:rsid w:val="00996B8F"/>
    <w:rsid w:val="009B59A4"/>
    <w:rsid w:val="009B6A74"/>
    <w:rsid w:val="00A35FD6"/>
    <w:rsid w:val="00A61BC4"/>
    <w:rsid w:val="00B67F2A"/>
    <w:rsid w:val="00C23291"/>
    <w:rsid w:val="00C46C75"/>
    <w:rsid w:val="00C706E0"/>
    <w:rsid w:val="00CD0E2A"/>
    <w:rsid w:val="00CD46A4"/>
    <w:rsid w:val="00CF55E6"/>
    <w:rsid w:val="00DB0FB6"/>
    <w:rsid w:val="00E64F40"/>
    <w:rsid w:val="00E66593"/>
    <w:rsid w:val="00E767F6"/>
    <w:rsid w:val="00EF5A2E"/>
    <w:rsid w:val="00F06E9B"/>
    <w:rsid w:val="00F40F9D"/>
    <w:rsid w:val="00F61612"/>
    <w:rsid w:val="00F931D3"/>
    <w:rsid w:val="00FE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29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291"/>
    <w:rPr>
      <w:u w:val="single"/>
    </w:rPr>
  </w:style>
  <w:style w:type="table" w:customStyle="1" w:styleId="TableNormal">
    <w:name w:val="Table Normal"/>
    <w:rsid w:val="00C23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23291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numbering" w:customStyle="1" w:styleId="List0">
    <w:name w:val="List 0"/>
    <w:basedOn w:val="Bullet"/>
    <w:rsid w:val="00C23291"/>
    <w:pPr>
      <w:numPr>
        <w:numId w:val="3"/>
      </w:numPr>
    </w:pPr>
  </w:style>
  <w:style w:type="numbering" w:customStyle="1" w:styleId="Bullet">
    <w:name w:val="Bullet"/>
    <w:rsid w:val="00C23291"/>
  </w:style>
  <w:style w:type="paragraph" w:styleId="a4">
    <w:name w:val="Balloon Text"/>
    <w:basedOn w:val="a"/>
    <w:link w:val="a5"/>
    <w:uiPriority w:val="99"/>
    <w:semiHidden/>
    <w:unhideWhenUsed/>
    <w:rsid w:val="00C70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6E0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qFormat/>
    <w:rsid w:val="00576F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ru-RU"/>
    </w:rPr>
  </w:style>
  <w:style w:type="table" w:styleId="a7">
    <w:name w:val="Table Grid"/>
    <w:basedOn w:val="a1"/>
    <w:uiPriority w:val="59"/>
    <w:rsid w:val="00A35F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Насибулин</dc:creator>
  <cp:lastModifiedBy>zaiceva</cp:lastModifiedBy>
  <cp:revision>3</cp:revision>
  <cp:lastPrinted>2015-02-10T14:51:00Z</cp:lastPrinted>
  <dcterms:created xsi:type="dcterms:W3CDTF">2020-07-15T09:43:00Z</dcterms:created>
  <dcterms:modified xsi:type="dcterms:W3CDTF">2020-07-15T09:46:00Z</dcterms:modified>
</cp:coreProperties>
</file>